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>
        <w:rPr>
          <w:b/>
          <w:szCs w:val="24"/>
        </w:rPr>
        <w:t>Malířské a lakýrnické práce pro K</w:t>
      </w:r>
      <w:r w:rsidR="00305B05">
        <w:rPr>
          <w:b/>
          <w:szCs w:val="24"/>
        </w:rPr>
        <w:t>rajskou zdravotní</w:t>
      </w:r>
      <w:r>
        <w:rPr>
          <w:b/>
          <w:szCs w:val="24"/>
        </w:rPr>
        <w:t xml:space="preserve">, a.s. 2016, </w:t>
      </w:r>
      <w:r w:rsidRPr="00EF50C9">
        <w:rPr>
          <w:b/>
          <w:szCs w:val="24"/>
        </w:rPr>
        <w:t xml:space="preserve">část </w:t>
      </w:r>
      <w:r w:rsidR="00EF50C9" w:rsidRPr="00EF50C9">
        <w:rPr>
          <w:b/>
          <w:szCs w:val="24"/>
        </w:rPr>
        <w:t>1</w:t>
      </w:r>
      <w:r w:rsidRPr="00AB602D">
        <w:rPr>
          <w:b/>
          <w:bCs/>
          <w:szCs w:val="24"/>
        </w:rPr>
        <w:t>“</w:t>
      </w:r>
      <w:r w:rsidRPr="00476FAB" w:rsidDel="00A71D43">
        <w:rPr>
          <w:b/>
        </w:rPr>
        <w:t xml:space="preserve"> </w:t>
      </w:r>
    </w:p>
    <w:p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</w:t>
      </w:r>
      <w:bookmarkStart w:id="0" w:name="_GoBack"/>
      <w:bookmarkEnd w:id="0"/>
      <w:r w:rsidRPr="00476FAB">
        <w:rPr>
          <w:color w:val="000000"/>
          <w:szCs w:val="24"/>
        </w:rPr>
        <w:t xml:space="preserve">    Sociální péče 3316/12A, 401 13 Ústí nad Labem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>
        <w:t>p. Jan Vágner – vedoucí odboru investic a rozvoje majetku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 xml:space="preserve"> nebo i „</w:t>
      </w:r>
      <w:r w:rsidRPr="003103B5">
        <w:rPr>
          <w:b/>
          <w:color w:val="000000"/>
          <w:szCs w:val="24"/>
        </w:rPr>
        <w:t>KZ, a. s.</w:t>
      </w:r>
      <w:r>
        <w:rPr>
          <w:color w:val="000000"/>
          <w:szCs w:val="24"/>
        </w:rPr>
        <w:t>“)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:rsidR="00AD03F9" w:rsidRDefault="00AD03F9" w:rsidP="00AD03F9">
      <w:pPr>
        <w:pStyle w:val="NormlnIMP2"/>
      </w:pPr>
    </w:p>
    <w:p w:rsidR="00227316" w:rsidRDefault="00227316" w:rsidP="00AD03F9">
      <w:pPr>
        <w:pStyle w:val="NormlnIMP2"/>
      </w:pPr>
    </w:p>
    <w:p w:rsidR="00AD03F9" w:rsidRDefault="00AD03F9" w:rsidP="00AD03F9">
      <w:pPr>
        <w:pStyle w:val="NormlnIMP2"/>
      </w:pPr>
    </w:p>
    <w:p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:rsidR="00AD03F9" w:rsidRPr="006306BC" w:rsidRDefault="00AD03F9" w:rsidP="00AD03F9">
      <w:pPr>
        <w:pStyle w:val="NormlnIMP0"/>
        <w:spacing w:line="276" w:lineRule="auto"/>
        <w:ind w:left="993" w:hanging="426"/>
        <w:jc w:val="both"/>
        <w:rPr>
          <w:b/>
        </w:rPr>
      </w:pPr>
      <w:r w:rsidRPr="00476FAB">
        <w:rPr>
          <w:szCs w:val="24"/>
        </w:rPr>
        <w:tab/>
      </w: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„Malířské a lakýrnické práce pro K</w:t>
      </w:r>
      <w:r w:rsidR="00305B05">
        <w:rPr>
          <w:b/>
        </w:rPr>
        <w:t>rajskou zdravotní</w:t>
      </w:r>
      <w:r w:rsidRPr="005A4CE8">
        <w:rPr>
          <w:b/>
        </w:rPr>
        <w:t xml:space="preserve">, a.s. 2016, </w:t>
      </w:r>
      <w:r w:rsidRPr="00A94418">
        <w:rPr>
          <w:b/>
        </w:rPr>
        <w:t xml:space="preserve">část </w:t>
      </w:r>
      <w:r w:rsidR="00A94418" w:rsidRPr="00A94418">
        <w:rPr>
          <w:b/>
        </w:rPr>
        <w:t>1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137/2006 Sb., o veřejných zakázkách (dále také jako „ZVZ“).</w:t>
      </w:r>
      <w:r w:rsidRPr="006306BC">
        <w:t xml:space="preserve"> </w:t>
      </w:r>
    </w:p>
    <w:p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:rsidR="00CB1ACF" w:rsidRDefault="00CB1ACF" w:rsidP="00CB1ACF">
      <w:pPr>
        <w:pStyle w:val="Odstavecseseznamem"/>
        <w:ind w:left="360"/>
        <w:jc w:val="both"/>
      </w:pPr>
    </w:p>
    <w:p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:rsidR="00AD03F9" w:rsidRPr="005A4CE8" w:rsidRDefault="00AD03F9" w:rsidP="00CB1ACF"/>
    <w:p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2.3 této smlouvy</w:t>
      </w:r>
      <w:r w:rsidRPr="006F77AA">
        <w:rPr>
          <w:szCs w:val="24"/>
        </w:rPr>
        <w:t xml:space="preserve">. </w:t>
      </w:r>
    </w:p>
    <w:p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bílá otěruvzdorná, včetně sádrování - kryvost min. 85%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otěruvzdorná - jemné odstíny,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 vzdorná - syté odstíny,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Malba omyvatelná bílá,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omyvatelná barevná, vč. sádrování - kryvost min.85 %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A94418">
        <w:rPr>
          <w:szCs w:val="24"/>
        </w:rPr>
        <w:t>Krajské zdravotní, a.s. – Masarykovy nemocnice, o.z.</w:t>
      </w:r>
      <w:r>
        <w:rPr>
          <w:szCs w:val="24"/>
        </w:rPr>
        <w:t>, na adrese:</w:t>
      </w:r>
      <w:r w:rsidR="00A94418">
        <w:rPr>
          <w:szCs w:val="24"/>
        </w:rPr>
        <w:t xml:space="preserve"> Sociální péče 3316/12 A, 401 13.</w:t>
      </w:r>
    </w:p>
    <w:p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:rsidR="005D321E" w:rsidRDefault="005D321E" w:rsidP="005D321E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 xml:space="preserve">Vedoucí OSÚN příslušného </w:t>
      </w:r>
      <w:proofErr w:type="gramStart"/>
      <w:r w:rsidRPr="00A33706">
        <w:t>o.z.</w:t>
      </w:r>
      <w:proofErr w:type="gramEnd"/>
      <w:r>
        <w:t xml:space="preserve"> </w:t>
      </w:r>
    </w:p>
    <w:p w:rsidR="005D321E" w:rsidRDefault="005D321E" w:rsidP="005D321E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</w:pPr>
      <w:r>
        <w:t xml:space="preserve">Masarykova nemocnice v Ústí nad Labem – Pavel Novotný, tel. </w:t>
      </w:r>
      <w:r w:rsidRPr="00A33706">
        <w:t>734 415</w:t>
      </w:r>
      <w:r>
        <w:t> </w:t>
      </w:r>
      <w:r w:rsidRPr="00A33706">
        <w:t>788</w:t>
      </w:r>
      <w:r>
        <w:t>, pavel.novotny@kzcr.eu</w:t>
      </w:r>
    </w:p>
    <w:p w:rsidR="005D321E" w:rsidRDefault="005D321E" w:rsidP="005D321E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lastRenderedPageBreak/>
        <w:t>Zástupce vedoucího dle 1)</w:t>
      </w:r>
    </w:p>
    <w:p w:rsidR="005D321E" w:rsidRDefault="005D321E" w:rsidP="005D321E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>Masarykova nemocnice v Ústí nad Labem – Pavel Těšina, tel. 731 132 768, pavel.tesina@kzcr.eu</w:t>
      </w:r>
    </w:p>
    <w:p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>Za písemnou výzvu Objednatele k předložení návrhu na uzavření dílčí</w:t>
      </w:r>
      <w:r>
        <w:t xml:space="preserve"> </w:t>
      </w:r>
      <w:r w:rsidRPr="00D041CC">
        <w:t>smlouvy o dílo se pro účely této smlouvy považuje objednávka Objednatele,</w:t>
      </w:r>
      <w:r>
        <w:t xml:space="preserve"> </w:t>
      </w:r>
      <w:r w:rsidRPr="00D041CC">
        <w:t>která bude obsahovat: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EF0B54">
        <w:rPr>
          <w:szCs w:val="24"/>
        </w:rPr>
        <w:t>jan.vagner@kzcr.eu.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:rsidR="00AD03F9" w:rsidRPr="00AE233D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</w:p>
    <w:p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</w:t>
      </w:r>
      <w:r>
        <w:rPr>
          <w:szCs w:val="24"/>
        </w:rPr>
        <w:lastRenderedPageBreak/>
        <w:t xml:space="preserve">malířské a lakýrnické práce. </w:t>
      </w:r>
    </w:p>
    <w:p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lastRenderedPageBreak/>
        <w:t>lhůtu splatnosti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Nebude-li faktura obsahovat některou náležitost dle této smlouvy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subdodavatele uvedené v Seznamu </w:t>
      </w:r>
      <w:r w:rsidRPr="00476FAB">
        <w:rPr>
          <w:szCs w:val="24"/>
          <w:lang w:eastAsia="en-US"/>
        </w:rPr>
        <w:t>subdodavatelů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>bjednatele o změnu v Seznamu subdodavatelů. V případě, že Zhotovitel o změnu v  Seznamu subdodavatelů požádá, je právem Objednatele rozhodnout o tom, zda žádost o změnu v  Seznamu subdodavatelů akceptuje nebo odmítne, přičemž odmítnutí nesmí být bezdůvodné.</w:t>
      </w:r>
    </w:p>
    <w:p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>Zhotovitel je oprávněn změnit subdodavatele, pomocí kterého prokázal část splnění kvalifikace, jen v nutných a závažných případech s předchozím písemným souhlasem Objednatele, přičemž nový subdodavatel, dosazený za původního, musí disponovat minimálně stejnými kvalifikačními předpoklady, které původní subdodavatel prokazoval za uchazeče v rámci výběrového řízení. Své kvalifikační předpoklady musí nově dosazený subdodavatel prokázat na vyzvání Objednateli a ten nesmí souhlas se změnou subdodavatele bezdůvodně odmítnout, pokud mu budou všechny předmětné dokumenty předloženy.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</w:t>
      </w:r>
      <w:r w:rsidRPr="00476FAB">
        <w:rPr>
          <w:szCs w:val="24"/>
        </w:rPr>
        <w:lastRenderedPageBreak/>
        <w:t>odpadů.</w:t>
      </w:r>
    </w:p>
    <w:p w:rsidR="00AD03F9" w:rsidRPr="00476FAB" w:rsidRDefault="00AD03F9" w:rsidP="00AD03F9">
      <w:pPr>
        <w:pStyle w:val="Odstavecseseznamem"/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2969A6">
        <w:rPr>
          <w:szCs w:val="24"/>
        </w:rPr>
        <w:t xml:space="preserve">Zhotovitel se zavazuje po ukončení malířských a lakýrnických prací provést závěrečný úklid a vyčištění místa plnění a případných dalších </w:t>
      </w:r>
      <w:r w:rsidR="00320586">
        <w:rPr>
          <w:szCs w:val="24"/>
        </w:rPr>
        <w:t>ploch dotčených v souvislosti s plněním smlouvy</w:t>
      </w:r>
      <w:r w:rsidRPr="002969A6">
        <w:rPr>
          <w:szCs w:val="24"/>
        </w:rPr>
        <w:t>.</w:t>
      </w:r>
    </w:p>
    <w:p w:rsidR="00AD03F9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:rsidR="00CB1ACF" w:rsidRPr="00476FAB" w:rsidRDefault="00CB1ACF" w:rsidP="00CB1ACF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 výjimkou přerušení nebo omezení běžného provozu po dobu nezbytně nutnou pro provádění díla.</w:t>
      </w:r>
    </w:p>
    <w:p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lastRenderedPageBreak/>
        <w:t>V případě, že Objednatel uplatní v záruční době nárok z odpovědnosti za vady, zahájí Zhotovitel práce na odstranění vad nebránící užívání díla do 72 hodin v pracovní dny od oznámení vad a vadu odstraní do 5 pracovních dnů od nastoupení (je-li to technologicky možné nebo nedohodnou-li se smluvní strany písemně jinak).</w:t>
      </w:r>
    </w:p>
    <w:p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>
        <w:rPr>
          <w:szCs w:val="24"/>
        </w:rPr>
        <w:t>5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subdodavatele oproti Seznamu subdodavatelů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 xml:space="preserve">Vedle smluvní pokuty má Objednatel nárok na náhradu vzniklé škody, a to </w:t>
      </w:r>
      <w:r>
        <w:rPr>
          <w:szCs w:val="24"/>
        </w:rPr>
        <w:t xml:space="preserve">v její skutečné výši </w:t>
      </w:r>
      <w:r w:rsidRPr="00476FAB">
        <w:rPr>
          <w:szCs w:val="24"/>
        </w:rPr>
        <w:t>nad rámec sjednané výše smluvní pokuty.</w:t>
      </w:r>
    </w:p>
    <w:p w:rsidR="00AD03F9" w:rsidRDefault="00AD03F9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5. </w:t>
      </w:r>
      <w:r>
        <w:rPr>
          <w:szCs w:val="24"/>
        </w:rPr>
        <w:t xml:space="preserve"> </w:t>
      </w:r>
      <w:r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Pr="00476FAB">
        <w:rPr>
          <w:szCs w:val="24"/>
        </w:rPr>
        <w:t>Zhotovitel provádí práce na díle v rozporu s touto smlouvou</w:t>
      </w:r>
      <w:r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Pr="00476FAB">
        <w:rPr>
          <w:szCs w:val="24"/>
        </w:rPr>
        <w:t xml:space="preserve"> upozorněn Objednatele</w:t>
      </w:r>
      <w:r>
        <w:rPr>
          <w:szCs w:val="24"/>
        </w:rPr>
        <w:t>m</w:t>
      </w:r>
      <w:r w:rsidRPr="00476FAB">
        <w:rPr>
          <w:szCs w:val="24"/>
        </w:rPr>
        <w:t>.</w:t>
      </w:r>
    </w:p>
    <w:p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lastRenderedPageBreak/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137/2006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 veřejných zakázkách,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/>
        <w:ind w:left="360" w:hanging="360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let.</w:t>
      </w:r>
      <w:r w:rsidR="00194246">
        <w:rPr>
          <w:szCs w:val="24"/>
        </w:rPr>
        <w:t xml:space="preserve"> Objednatel je oprávněn tuto smlouvu kdykoliv vypovědět bez uvedení důvodu s tříměsíční výpovědní dobou.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jedno</w:t>
      </w:r>
      <w:r w:rsidRPr="00476FAB">
        <w:rPr>
          <w:szCs w:val="24"/>
        </w:rPr>
        <w:t xml:space="preserve"> vyhotovení.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subdodavatelů </w:t>
      </w:r>
    </w:p>
    <w:p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subdodavatelů 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subdodavateli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A94418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Malířské a lakýrnické práce pro KZ, a.s. 2016, </w:t>
            </w:r>
            <w:r w:rsidRPr="00A94418">
              <w:rPr>
                <w:b/>
                <w:szCs w:val="24"/>
              </w:rPr>
              <w:t xml:space="preserve">část </w:t>
            </w:r>
            <w:r w:rsidR="00A94418" w:rsidRPr="00A94418">
              <w:rPr>
                <w:b/>
                <w:szCs w:val="24"/>
              </w:rPr>
              <w:t>1</w:t>
            </w:r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:rsidTr="00551EEC">
        <w:trPr>
          <w:cantSplit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5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:rsidTr="00551EEC">
        <w:trPr>
          <w:cantSplit/>
          <w:trHeight w:val="138"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7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:rsidTr="00551EEC">
        <w:tc>
          <w:tcPr>
            <w:tcW w:w="712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lastRenderedPageBreak/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:rsidR="00AD03F9" w:rsidRDefault="00AD03F9" w:rsidP="00AD03F9">
      <w:pPr>
        <w:ind w:left="4248" w:right="41" w:firstLine="708"/>
        <w:rPr>
          <w:i/>
        </w:rPr>
      </w:pPr>
    </w:p>
    <w:p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3F9"/>
    <w:rsid w:val="00044E2A"/>
    <w:rsid w:val="00067ED9"/>
    <w:rsid w:val="00194246"/>
    <w:rsid w:val="001D6F48"/>
    <w:rsid w:val="002159C7"/>
    <w:rsid w:val="00227316"/>
    <w:rsid w:val="00235D06"/>
    <w:rsid w:val="002A633D"/>
    <w:rsid w:val="002E6E42"/>
    <w:rsid w:val="00305B05"/>
    <w:rsid w:val="003064B9"/>
    <w:rsid w:val="00320586"/>
    <w:rsid w:val="004108A1"/>
    <w:rsid w:val="00502B64"/>
    <w:rsid w:val="005446DC"/>
    <w:rsid w:val="005809A8"/>
    <w:rsid w:val="005D321E"/>
    <w:rsid w:val="00821F9A"/>
    <w:rsid w:val="00893B63"/>
    <w:rsid w:val="00A94418"/>
    <w:rsid w:val="00AD03F9"/>
    <w:rsid w:val="00AF4A17"/>
    <w:rsid w:val="00B35047"/>
    <w:rsid w:val="00C80774"/>
    <w:rsid w:val="00CB1ACF"/>
    <w:rsid w:val="00DE7F58"/>
    <w:rsid w:val="00E52DA8"/>
    <w:rsid w:val="00EF0B54"/>
    <w:rsid w:val="00EF50C9"/>
    <w:rsid w:val="00F24368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EA91A-9554-49E2-B26A-3C2098D9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2787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10</cp:revision>
  <dcterms:created xsi:type="dcterms:W3CDTF">2016-09-05T10:06:00Z</dcterms:created>
  <dcterms:modified xsi:type="dcterms:W3CDTF">2016-09-13T12:45:00Z</dcterms:modified>
</cp:coreProperties>
</file>